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</w:rPr>
        <w:t xml:space="preserve">Informačná povinnosť k spracúvaniu osobných údajov</w:t>
      </w:r>
    </w:p>
    <w:p>
      <w:pPr>
        <w:spacing w:after="300"/>
        <w:jc w:val="center"/>
      </w:pPr>
      <w:r>
        <w:rPr>
          <w:b/>
          <w:bCs/>
        </w:rPr>
        <w:t xml:space="preserve">Informácie pre UCHÁDZAČOV O ZAMESTNANIE</w:t>
      </w:r>
    </w:p>
    <w:p>
      <w:pPr>
        <w:spacing w:after="120" w:before="200"/>
      </w:pPr>
      <w:r>
        <w:rPr>
          <w:b/>
          <w:bCs/>
          <w:u w:val="single"/>
        </w:rPr>
        <w:t xml:space="preserve">Účel spracúvania osobných údajov, na ktorý sú osobné údaje určené: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Výberové konanie na obsadenie pracovnej pozície v spoločnosti (na základe žiadosti o zamestnanie / životopisu uchádzača),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vedenie evidencie uchádzačov o zamestnanie počas trvania výberového konania a komunikácia s uchádzačom v jeho priebehu.</w:t>
      </w:r>
    </w:p>
    <w:p>
      <w:pPr>
        <w:spacing w:after="120" w:before="200"/>
      </w:pPr>
      <w:r>
        <w:rPr>
          <w:b/>
          <w:bCs/>
          <w:u w:val="single"/>
        </w:rPr>
        <w:t xml:space="preserve">Okruh dotknutých osôb: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uchádzači o zamestnanie (fyzické osoby), ktorí sa uchádzajú o pracovnú pozíciu u prevádzkovateľa.</w:t>
      </w:r>
    </w:p>
    <w:p>
      <w:pPr>
        <w:spacing w:after="120" w:before="200"/>
      </w:pPr>
      <w:r>
        <w:rPr>
          <w:b/>
          <w:bCs/>
          <w:u w:val="single"/>
        </w:rPr>
        <w:t xml:space="preserve">Kategória osobných údajov: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bežné osobné údaje.</w:t>
      </w:r>
    </w:p>
    <w:p>
      <w:pPr>
        <w:spacing w:after="120" w:before="200"/>
      </w:pPr>
      <w:r>
        <w:rPr>
          <w:b/>
          <w:bCs/>
          <w:u w:val="single"/>
        </w:rPr>
        <w:t xml:space="preserve">Zoznam alebo rozsah osobných údajov: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titul, meno, priezvisko, kontaktné údaje (adresa, telefónne číslo, e-mailová adresa),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údaje o vzdelaní, odbornej praxi, pracovných skúsenostiach a jazykových znalostiach,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ďalšie údaje, ktoré uchádzač dobrovoľne uvedie vo svojom životopise, motivačnom liste alebo počas výberového konania (pohovoru).</w:t>
      </w:r>
    </w:p>
    <w:p>
      <w:pPr>
        <w:spacing w:after="120" w:before="200"/>
      </w:pPr>
      <w:r>
        <w:rPr>
          <w:b/>
          <w:bCs/>
          <w:u w:val="single"/>
        </w:rPr>
        <w:t xml:space="preserve">Zákonnosť spracúvania osobných údajov:</w:t>
      </w:r>
    </w:p>
    <w:p>
      <w:pPr>
        <w:spacing w:after="80"/>
      </w:pPr>
      <w:r>
        <w:rPr>
          <w:b/>
          <w:bCs/>
        </w:rPr>
        <w:t xml:space="preserve">čl. 6 ods. 1 písm. b) GDPR</w:t>
      </w:r>
      <w:r>
        <w:t xml:space="preserve"> – spracúvanie osobných údajov je nevyhnutné na vykonanie opatrení pred uzatvorením zmluvy (pracovnej zmluvy) na žiadosť dotknutej osoby, t. j. na účely výberového konania na základe žiadosti uchádzača o zamestnanie.</w:t>
      </w:r>
    </w:p>
    <w:p>
      <w:pPr>
        <w:spacing w:after="120" w:before="200"/>
      </w:pPr>
      <w:r>
        <w:rPr>
          <w:b/>
          <w:bCs/>
          <w:u w:val="single"/>
        </w:rPr>
        <w:t xml:space="preserve">Zákonná povinnosť spracúvania osobných údajov: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Zákon č. 311/2001 Z. z. Zákonník práce v znení neskorších predpisov.</w:t>
      </w:r>
    </w:p>
    <w:p>
      <w:pPr>
        <w:spacing w:after="120" w:before="200"/>
      </w:pPr>
      <w:r>
        <w:rPr>
          <w:b/>
          <w:bCs/>
          <w:u w:val="single"/>
        </w:rPr>
        <w:t xml:space="preserve">Identifikácia príjemcu alebo kategórie príjemcu: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poskytovateľ platformy pre e-mailovú komunikáciu.</w:t>
      </w:r>
    </w:p>
    <w:p>
      <w:pPr>
        <w:spacing w:after="80"/>
      </w:pPr>
      <w:r>
        <w:t xml:space="preserve">- do tretích krajín:</w:t>
      </w:r>
    </w:p>
    <w:p>
      <w:pPr>
        <w:spacing w:after="80"/>
      </w:pPr>
      <w:r>
        <w:t xml:space="preserve">Osobné údaje sa do tretích krajín neposkytujú.</w:t>
      </w:r>
    </w:p>
    <w:p>
      <w:pPr>
        <w:spacing w:after="80"/>
      </w:pPr>
      <w:r>
        <w:t xml:space="preserve">- do medzinárodných organizácií:</w:t>
      </w:r>
    </w:p>
    <w:p>
      <w:pPr>
        <w:spacing w:after="80"/>
      </w:pPr>
      <w:r>
        <w:t xml:space="preserve">Osobné údaje sa do medzinárodných organizácií neposkytujú.</w:t>
      </w:r>
    </w:p>
    <w:p>
      <w:pPr>
        <w:spacing w:after="120" w:before="200"/>
      </w:pPr>
      <w:r>
        <w:rPr>
          <w:b/>
          <w:bCs/>
          <w:u w:val="single"/>
        </w:rPr>
        <w:t xml:space="preserve">Zverejňovanie osobných údajov:</w:t>
      </w:r>
    </w:p>
    <w:p>
      <w:pPr>
        <w:spacing w:after="80"/>
      </w:pPr>
      <w:r>
        <w:t xml:space="preserve">Osobné údaje sa nezverejňujú.</w:t>
      </w:r>
    </w:p>
    <w:p>
      <w:pPr>
        <w:spacing w:after="120" w:before="200"/>
      </w:pPr>
      <w:r>
        <w:rPr>
          <w:b/>
          <w:bCs/>
          <w:u w:val="single"/>
        </w:rPr>
        <w:t xml:space="preserve">Doba uchovávania / kritérium jej určenia:</w:t>
      </w:r>
    </w:p>
    <w:p>
      <w:pPr>
        <w:spacing w:after="80"/>
      </w:pPr>
      <w:r>
        <w:t xml:space="preserve">Osobné údaje uchádzača o zamestnanie sa uchovávajú najviac 1 mesiac odo dňa doručenia žiadosti o zamestnanie (životopisu). Ak v tejto lehote dôjde k výberovému konaniu (pracovnému pohovoru), osobné údaje sa uchovávajú po dobu trvania výberového konania, najviac však do jeho ukončenia. Ak v tejto lehote k výberovému konaniu nedôjde, osobné údaje uchádzača sú po uplynutí uvedenej lehoty vymazané.</w:t>
      </w:r>
    </w:p>
    <w:p>
      <w:pPr>
        <w:spacing w:after="120" w:before="200"/>
      </w:pPr>
      <w:r>
        <w:rPr>
          <w:b/>
          <w:bCs/>
          <w:u w:val="single"/>
        </w:rPr>
        <w:t xml:space="preserve">Poučenie o forme požiadavky na poskytnutie osobných údajov od dotknutých osôb:</w:t>
      </w:r>
    </w:p>
    <w:p>
      <w:pPr>
        <w:spacing w:after="80"/>
      </w:pPr>
      <w:r>
        <w:t xml:space="preserve">Poskytnutie osobných údajov je dobrovoľné, je však nevyhnutnou podmienkou pre zaradenie uchádzača do výberového konania. V prípade neposkytnutia týchto údajov nie je možné uchádzača do výberového konania zaradiť.</w:t>
      </w:r>
    </w:p>
    <w:p>
      <w:pPr>
        <w:spacing w:after="120" w:before="200"/>
      </w:pPr>
      <w:r>
        <w:rPr>
          <w:b/>
          <w:bCs/>
          <w:u w:val="single"/>
        </w:rPr>
        <w:t xml:space="preserve">Automatizované individuálne rozhodovanie vrátane profilovania:</w:t>
      </w:r>
    </w:p>
    <w:p>
      <w:pPr>
        <w:spacing w:after="80"/>
      </w:pPr>
      <w:r>
        <w:t xml:space="preserve">Automatizované individuálne rozhodovanie vrátane profilovania sa nevykonáva.</w:t>
      </w:r>
    </w:p>
    <w:sectPr>
      <w:headerReference w:type="default" r:id="rId6"/>
      <w:footerReference w:type="default" r:id="rId7"/>
      <w:pgSz w:w="11906" w:h="16838" w:orient="portrait"/>
      <w:pgMar w:top="1600" w:right="1100" w:bottom="1500" w:left="110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spacing w:before="60"/>
      <w:jc w:val="center"/>
    </w:pPr>
    <w:r>
      <w:rPr>
        <w:color w:val="777777"/>
        <w:sz w:val="14"/>
        <w:szCs w:val="14"/>
      </w:rPr>
      <w:t xml:space="preserve">MASH Integration, spol. s r.o.  ·  Hanzlíkovská 2681/3, 911 05 Trenčín  ·  IČO: 45618933  ·  IČ DPH: SK2023055958</w:t>
    </w:r>
  </w:p>
  <w:p>
    <w:pPr>
      <w:jc w:val="center"/>
    </w:pPr>
    <w:r>
      <w:rPr>
        <w:color w:val="777777"/>
        <w:sz w:val="14"/>
        <w:szCs w:val="14"/>
      </w:rPr>
      <w:t xml:space="preserve">Obchodný register Okresného súdu Trenčín, Oddiel: Sro, Vložka č. 23178/R  ·  office@mash-i.sk  ·  www.mash-i.sk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706"/>
      <w:tblBorders>
        <w:top w:val="none" w:color="FFFFFF" w:sz="0"/>
        <w:left w:val="none" w:color="FFFFFF" w:sz="0"/>
        <w:bottom w:val="single" w:color="A30000" w:sz="4"/>
        <w:right w:val="none" w:color="FFFFFF" w:sz="0"/>
        <w:insideH w:val="none" w:color="FFFFFF" w:sz="0"/>
        <w:insideV w:val="none" w:color="FFFFFF" w:sz="0"/>
      </w:tblBorders>
    </w:tblPr>
    <w:tblGrid>
      <w:gridCol w:w="3600"/>
      <w:gridCol w:w="6106"/>
    </w:tblGrid>
    <w:tr>
      <w:tc>
        <w:tcPr>
          <w:tcW w:type="dxa" w:w="3600"/>
          <w:vAlign w:val="center"/>
        </w:tcPr>
        <w:p>
          <w:pPr>
            <w:spacing w:after="120"/>
          </w:pPr>
          <w:r>
            <w:drawing>
              <wp:inline distT="0" distB="0" distL="0" distR="0">
                <wp:extent cx="1238250" cy="638175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638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106"/>
          <w:vAlign w:val="center"/>
        </w:tcPr>
        <w:p>
          <w:pPr>
            <w:spacing w:after="120"/>
            <w:jc w:val="right"/>
          </w:pPr>
          <w:r>
            <w:rPr>
              <w:b/>
              <w:bCs/>
              <w:color w:val="555555"/>
              <w:sz w:val="18"/>
              <w:szCs w:val="18"/>
            </w:rPr>
            <w:t xml:space="preserve">MASH Integration, spol. s r.o.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4" w:hanging="288"/>
      </w:pPr>
    </w:lvl>
  </w:abstractNum>
  <w:abstractNum w:abstractNumId="3" w15:restartNumberingAfterBreak="0">
    <w:multiLevelType w:val="hybridMultilevel"/>
    <w:lvl w:ilvl="0" w:tentative="1">
      <w:start w:val="1"/>
      <w:numFmt w:val="lowerLetter"/>
      <w:lvlText w:val="%1)"/>
      <w:lvlJc w:val="left"/>
      <w:pPr>
        <w:ind w:left="504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1c3b908d63ba6c1d0c375ea33f27621398d0d4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2026-10-22T18:03:56.787Z</dcterms:created>
  <dcterms:modified xsi:type="dcterms:W3CDTF">2026-10-22T18:03:56.789Z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