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rPr>
        <w:t xml:space="preserve">Informačná povinnosť k spracúvaniu osobných údajov</w:t>
      </w:r>
    </w:p>
    <w:p>
      <w:pPr>
        <w:spacing w:after="280"/>
        <w:jc w:val="center"/>
      </w:pPr>
      <w:r>
        <w:rPr>
          <w:b/>
          <w:bCs/>
        </w:rPr>
        <w:t xml:space="preserve">Informácie pre klientov</w:t>
      </w:r>
    </w:p>
    <w:p>
      <w:pPr>
        <w:spacing w:after="120" w:before="200"/>
      </w:pPr>
      <w:r>
        <w:rPr>
          <w:b/>
          <w:bCs/>
          <w:u w:val="single"/>
        </w:rPr>
        <w:t xml:space="preserve">Účel spracúvania osobných údajov, na ktorý sú osobné údaje určené:</w:t>
      </w:r>
    </w:p>
    <w:p>
      <w:pPr>
        <w:tabs>
          <w:tab w:val="left" w:pos="504"/>
        </w:tabs>
        <w:spacing w:after="70"/>
        <w:ind w:left="504" w:hanging="504"/>
      </w:pPr>
      <w:r>
        <w:t xml:space="preserve">a)	</w:t>
      </w:r>
      <w:r>
        <w:t xml:space="preserve">Výroba jednoúčelových strojov pre pracovné linky (na základe požiadaviek klienta)</w:t>
      </w:r>
    </w:p>
    <w:p>
      <w:pPr>
        <w:tabs>
          <w:tab w:val="left" w:pos="504"/>
        </w:tabs>
        <w:spacing w:after="70"/>
        <w:ind w:left="504" w:hanging="504"/>
      </w:pPr>
      <w:r>
        <w:t xml:space="preserve">b)	</w:t>
      </w:r>
      <w:r>
        <w:t xml:space="preserve">Výroba robotických zariadení (na základe požiadaviek klienta)</w:t>
      </w:r>
    </w:p>
    <w:p>
      <w:pPr>
        <w:tabs>
          <w:tab w:val="left" w:pos="504"/>
        </w:tabs>
        <w:spacing w:after="70"/>
        <w:ind w:left="504" w:hanging="504"/>
      </w:pPr>
      <w:r>
        <w:t xml:space="preserve">c)	</w:t>
      </w:r>
      <w:r>
        <w:t xml:space="preserve">PLC programovanie</w:t>
      </w:r>
    </w:p>
    <w:p>
      <w:pPr>
        <w:tabs>
          <w:tab w:val="left" w:pos="504"/>
        </w:tabs>
        <w:spacing w:after="70"/>
        <w:ind w:left="504" w:hanging="504"/>
      </w:pPr>
      <w:r>
        <w:t xml:space="preserve">d)	</w:t>
      </w:r>
      <w:r>
        <w:t xml:space="preserve">Výroba rozvádzačov (na základe požiadaviek klienta)</w:t>
      </w:r>
    </w:p>
    <w:p>
      <w:pPr>
        <w:tabs>
          <w:tab w:val="left" w:pos="504"/>
        </w:tabs>
        <w:spacing w:after="70"/>
        <w:ind w:left="504" w:hanging="504"/>
      </w:pPr>
      <w:r>
        <w:t xml:space="preserve">e)	</w:t>
      </w:r>
      <w:r>
        <w:t xml:space="preserve">Servis CNC strojov</w:t>
      </w:r>
    </w:p>
    <w:p>
      <w:pPr>
        <w:tabs>
          <w:tab w:val="left" w:pos="504"/>
        </w:tabs>
        <w:spacing w:after="70"/>
        <w:ind w:left="504" w:hanging="504"/>
      </w:pPr>
      <w:r>
        <w:t xml:space="preserve">f)	</w:t>
      </w:r>
      <w:r>
        <w:t xml:space="preserve">Vedenie evidencie kontaktných údajov klientov, ich kontaktných osôb, zamestnancov klientov a ich kontaktovanie</w:t>
      </w:r>
    </w:p>
    <w:p>
      <w:pPr>
        <w:spacing w:after="120" w:before="200"/>
      </w:pPr>
      <w:r>
        <w:rPr>
          <w:b/>
          <w:bCs/>
          <w:u w:val="single"/>
        </w:rPr>
        <w:t xml:space="preserve">Okruh dotknutých osôb:</w:t>
      </w:r>
    </w:p>
    <w:p>
      <w:pPr>
        <w:pStyle w:val="ListParagraph"/>
        <w:numPr>
          <w:ilvl w:val="0"/>
          <w:numId w:val="2"/>
        </w:numPr>
        <w:spacing w:after="70"/>
      </w:pPr>
      <w:r>
        <w:t xml:space="preserve">právnické osoby (PO) a ich štatutárne orgány, oprávnené osoby, zamestnanci, zmluvní zástupcovia odberateľov, príp. iné relevantné fyzické osoby,</w:t>
      </w:r>
    </w:p>
    <w:p>
      <w:pPr>
        <w:pStyle w:val="ListParagraph"/>
        <w:numPr>
          <w:ilvl w:val="0"/>
          <w:numId w:val="2"/>
        </w:numPr>
        <w:spacing w:after="70"/>
      </w:pPr>
      <w:r>
        <w:t xml:space="preserve">fyzické osoby podnikatelia (SZČO), ich zmluvní zástupcovia, príp. iné relevantné fyzické osoby,</w:t>
      </w:r>
    </w:p>
    <w:p>
      <w:pPr>
        <w:pStyle w:val="ListParagraph"/>
        <w:numPr>
          <w:ilvl w:val="0"/>
          <w:numId w:val="2"/>
        </w:numPr>
        <w:spacing w:after="70"/>
      </w:pPr>
      <w:r>
        <w:t xml:space="preserve">fyzické osoby nepodnikatelia (FO), ich kontaktné osoby, resp. zástupcovia.</w:t>
      </w:r>
    </w:p>
    <w:p>
      <w:pPr>
        <w:spacing w:after="120" w:before="200"/>
      </w:pPr>
      <w:r>
        <w:rPr>
          <w:b/>
          <w:bCs/>
          <w:u w:val="single"/>
        </w:rPr>
        <w:t xml:space="preserve">Kategória osobných údajov:</w:t>
      </w:r>
    </w:p>
    <w:p>
      <w:pPr>
        <w:pStyle w:val="ListParagraph"/>
        <w:numPr>
          <w:ilvl w:val="0"/>
          <w:numId w:val="2"/>
        </w:numPr>
        <w:spacing w:after="70"/>
      </w:pPr>
      <w:r>
        <w:t xml:space="preserve">bežné osobné údaje</w:t>
      </w:r>
    </w:p>
    <w:p>
      <w:pPr>
        <w:spacing w:after="120" w:before="200"/>
      </w:pPr>
      <w:r>
        <w:rPr>
          <w:b/>
          <w:bCs/>
          <w:u w:val="single"/>
        </w:rPr>
        <w:t xml:space="preserve">Zoznam alebo rozsah osobných údajov:</w:t>
      </w:r>
    </w:p>
    <w:p>
      <w:pPr>
        <w:pStyle w:val="ListParagraph"/>
        <w:numPr>
          <w:ilvl w:val="0"/>
          <w:numId w:val="2"/>
        </w:numPr>
        <w:spacing w:after="70"/>
      </w:pPr>
      <w:r>
        <w:t xml:space="preserve">klienti právnické osoby (PO) a samostatne zárobkovo činné osoby (SZČO) a ich štatutárne orgány, kontaktné osoby: obchodné meno, sídlo, IČO, IČ DPH, údaje o kontaktnej osobe v rozsahu titul, meno, priezvisko, telefonický kontakt na pracovisko, e-mailová adresa na pracovisko, iné relevantné údaje v rozsahu podľa § 78 Zákona o ochrane osobných údajov.</w:t>
      </w:r>
    </w:p>
    <w:p>
      <w:pPr>
        <w:pStyle w:val="ListParagraph"/>
        <w:numPr>
          <w:ilvl w:val="0"/>
          <w:numId w:val="2"/>
        </w:numPr>
        <w:spacing w:after="70"/>
      </w:pPr>
      <w:r>
        <w:t xml:space="preserve">klienti fyzické osoby nepodnikatelia (FO) a ich kontaktné osoby: titul, meno, priezvisko, telefonický kontakt, e-mailová adresa.</w:t>
      </w:r>
    </w:p>
    <w:p>
      <w:pPr>
        <w:spacing w:after="120" w:before="200"/>
      </w:pPr>
      <w:r>
        <w:rPr>
          <w:b/>
          <w:bCs/>
          <w:u w:val="single"/>
        </w:rPr>
        <w:t xml:space="preserve">Zákonnosť spracúvania osobných údajov:</w:t>
      </w:r>
    </w:p>
    <w:p>
      <w:pPr>
        <w:spacing w:after="120" w:before="200"/>
      </w:pPr>
      <w:r>
        <w:rPr>
          <w:b/>
          <w:bCs/>
          <w:u w:val="single"/>
        </w:rPr>
        <w:t xml:space="preserve">v rámci účelov v bodoch a) – e):</w:t>
      </w:r>
    </w:p>
    <w:p>
      <w:pPr>
        <w:spacing w:after="100"/>
      </w:pPr>
      <w:r>
        <w:t xml:space="preserve">čl. 6 ods. 1 písm. b) GDPR – spracúvanie osobných údajov je nevyhnutné na plnenie zmluvy, ktorej zmluvnou stranou je dotknutá osoba, alebo na vykonanie opatrenia pred uzatvorením zmluvy na základe žiadosti dotknutej osoby. Poskytovanie objednaných služieb a/alebo tovaru, čl. 6 ods. 1 písm. c) GDPR – spracúvanie osobných údajov je nevyhnutné podľa osobitného predpisu alebo medzinárodnej zmluvy, ktorou je Slovenská republika viazaná - plnenie zákonných povinností podľa osobitných predpisov, v rámci účelu v bode f): čl. 6 ods. 1 písm. f) GDPR – spracúvanie je nevyhnutné na účely oprávnených záujmov, ktoré sleduje prevádzkovateľ alebo tretia strana, s výnimkou prípadov, keď nad takýmito záujmami prevažujú záujmy alebo základné práva a slobody dotknutej osoby, ktoré si vyžadujú ochranu osobných údajov, najmä ak je dotknutou osobu dieťa.</w:t>
      </w:r>
    </w:p>
    <w:p>
      <w:pPr>
        <w:spacing w:after="120" w:before="200"/>
      </w:pPr>
      <w:r>
        <w:rPr>
          <w:b/>
          <w:bCs/>
          <w:u w:val="single"/>
        </w:rPr>
        <w:t xml:space="preserve">Zákonná povinnosť spracúvania osobných údajov:</w:t>
      </w:r>
    </w:p>
    <w:p>
      <w:pPr>
        <w:pStyle w:val="ListParagraph"/>
        <w:numPr>
          <w:ilvl w:val="0"/>
          <w:numId w:val="2"/>
        </w:numPr>
        <w:spacing w:after="70"/>
      </w:pPr>
      <w:r>
        <w:t xml:space="preserve">Zákon č. 513/1991 Zb. – Obchodný zákonník,</w:t>
      </w:r>
    </w:p>
    <w:p>
      <w:pPr>
        <w:pStyle w:val="ListParagraph"/>
        <w:numPr>
          <w:ilvl w:val="0"/>
          <w:numId w:val="2"/>
        </w:numPr>
        <w:spacing w:after="70"/>
      </w:pPr>
      <w:r>
        <w:t xml:space="preserve">Zákon č. 250/2007 Z. z. Zákon o ochrane spotrebiteľa a o zmene zákona Slovenskej národnej rady č. 372/1990 Zb. o priestupkoch v znení neskorších predpisov,</w:t>
      </w:r>
    </w:p>
    <w:p>
      <w:pPr>
        <w:pStyle w:val="ListParagraph"/>
        <w:numPr>
          <w:ilvl w:val="0"/>
          <w:numId w:val="2"/>
        </w:numPr>
        <w:spacing w:after="70"/>
      </w:pPr>
      <w:r>
        <w:t xml:space="preserve">Zákon č. 40/1964 Zb. Občiansky zákonník</w:t>
      </w:r>
    </w:p>
    <w:p>
      <w:pPr>
        <w:spacing w:after="120" w:before="200"/>
      </w:pPr>
      <w:r>
        <w:rPr>
          <w:b/>
          <w:bCs/>
          <w:u w:val="single"/>
        </w:rPr>
        <w:t xml:space="preserve">Identifikácia príjemcu alebo kategórie príjemcu:</w:t>
      </w:r>
    </w:p>
    <w:p>
      <w:pPr>
        <w:pStyle w:val="ListParagraph"/>
        <w:numPr>
          <w:ilvl w:val="0"/>
          <w:numId w:val="2"/>
        </w:numPr>
        <w:spacing w:after="70"/>
      </w:pPr>
      <w:r>
        <w:t xml:space="preserve">poskytovateľ služieb verejnej mobilnej siete</w:t>
      </w:r>
    </w:p>
    <w:p>
      <w:pPr>
        <w:pStyle w:val="ListParagraph"/>
        <w:numPr>
          <w:ilvl w:val="0"/>
          <w:numId w:val="2"/>
        </w:numPr>
        <w:spacing w:after="70"/>
      </w:pPr>
      <w:r>
        <w:t xml:space="preserve">poskytovateľ dátových služieb</w:t>
      </w:r>
    </w:p>
    <w:p>
      <w:pPr>
        <w:pStyle w:val="ListParagraph"/>
        <w:numPr>
          <w:ilvl w:val="0"/>
          <w:numId w:val="2"/>
        </w:numPr>
        <w:spacing w:after="70"/>
      </w:pPr>
      <w:r>
        <w:t xml:space="preserve">poskytovateľ platformy pre emailovú komunikáciu</w:t>
      </w:r>
    </w:p>
    <w:p>
      <w:pPr>
        <w:pStyle w:val="ListParagraph"/>
        <w:numPr>
          <w:ilvl w:val="0"/>
          <w:numId w:val="2"/>
        </w:numPr>
        <w:spacing w:after="70"/>
      </w:pPr>
      <w:r>
        <w:t xml:space="preserve">poskytovateľ bankových služieb,</w:t>
      </w:r>
    </w:p>
    <w:p>
      <w:pPr>
        <w:pStyle w:val="ListParagraph"/>
        <w:numPr>
          <w:ilvl w:val="0"/>
          <w:numId w:val="2"/>
        </w:numPr>
        <w:spacing w:after="70"/>
      </w:pPr>
      <w:r>
        <w:t xml:space="preserve">poskytovateľ platformy pre ekonomický softvér.</w:t>
      </w:r>
    </w:p>
    <w:p>
      <w:pPr>
        <w:spacing w:after="120" w:before="200"/>
      </w:pPr>
      <w:r>
        <w:rPr>
          <w:b/>
          <w:bCs/>
          <w:u w:val="single"/>
        </w:rPr>
        <w:t xml:space="preserve">- do tretích krajín:</w:t>
      </w:r>
    </w:p>
    <w:p>
      <w:pPr>
        <w:spacing w:after="100"/>
      </w:pPr>
      <w:r>
        <w:t xml:space="preserve">Osobné údaje sa do tretích krajín neposkytujú.</w:t>
      </w:r>
    </w:p>
    <w:p>
      <w:pPr>
        <w:spacing w:after="120" w:before="200"/>
      </w:pPr>
      <w:r>
        <w:rPr>
          <w:b/>
          <w:bCs/>
          <w:u w:val="single"/>
        </w:rPr>
        <w:t xml:space="preserve">- do medzinárodných organizácií:</w:t>
      </w:r>
    </w:p>
    <w:p>
      <w:pPr>
        <w:spacing w:after="100"/>
      </w:pPr>
      <w:r>
        <w:t xml:space="preserve">Osobné údaje sa do medzinárodných organizácií neposkytujú.</w:t>
      </w:r>
    </w:p>
    <w:p>
      <w:pPr>
        <w:spacing w:after="100"/>
      </w:pPr>
      <w:r>
        <w:t xml:space="preserve">Iný oprávnený subjekt: Oprávnený subjekt podľa všeobecne záväzného právneho predpisu, konkrétne podľa § 13 ods. 1 písm. c) zákona č. 18/2018 Z. z. o ochrane osobných údajov a o zmene a doplnení niektorých zákonov a v súlade s Všeobecným nariadením o ochrane údajov (GDPR). Zahŕňa, ale nie je obmedzený na:</w:t>
      </w:r>
    </w:p>
    <w:p>
      <w:pPr>
        <w:spacing w:after="100"/>
      </w:pPr>
      <w:r>
        <w:t xml:space="preserve">Kontrolné a dozorné orgány Slovenskej republiky: Orgány, ktoré majú právomoc dohliadať na dodržiavanie zákonov v rôznych sektoroch, vrátane Úradu na ochranu osobných údajov. Tieto orgány môžu vyžadovať prístup k osobným údajom v rozsahu nevyhnutnom pre vykonávanie ich kontrolných a dozorných úloh.</w:t>
      </w:r>
    </w:p>
    <w:p>
      <w:pPr>
        <w:spacing w:after="100"/>
      </w:pPr>
      <w:r>
        <w:t xml:space="preserve">Súdy a orgány trestného konania: V prípade vyšetrovania alebo súdnych konaní sú oprávnené pristupovať k osobným údajom v rozsahu potrebnom pre vykonávanie ich právomocí. Toto zahŕňa prípady, kde sú osobné údaje dôležité pre riešenie sporov, vyšetrovania alebo iné právne procesy.</w:t>
      </w:r>
    </w:p>
    <w:p>
      <w:pPr>
        <w:spacing w:after="100"/>
      </w:pPr>
      <w:r>
        <w:t xml:space="preserve">Príslušná Slovenská obchodná inšpekcia: Orgán dozoru nad dodržiavaním spotrebiteľskej legislatívy. Tento orgán môže vykonávať kontrolné aktivity, ktoré si vyžadujú prístup k osobným údajom na účely overenia dodržiavania pravidiel a regulácií týkajúcich sa spotrebiteľských práv.</w:t>
      </w:r>
    </w:p>
    <w:p>
      <w:pPr>
        <w:spacing w:after="100"/>
      </w:pPr>
      <w:r>
        <w:t xml:space="preserve">Iné subjekty oprávnené na základe osobitných zákonov: Rôzne štátne a verejné inštitúcie, ktoré majú zákonnú právomoc požadovať a spracúvať osobné údaje v súvislosti s ich štatutárnymi úlohami, ako napríklad daňové úrady, sociálne zabezpečenia, a iné regulačné orgány.</w:t>
      </w:r>
    </w:p>
    <w:p>
      <w:pPr>
        <w:spacing w:after="120" w:before="200"/>
      </w:pPr>
      <w:r>
        <w:rPr>
          <w:b/>
          <w:bCs/>
          <w:u w:val="single"/>
        </w:rPr>
        <w:t xml:space="preserve">Zverejňovanie osobných údajov:</w:t>
      </w:r>
    </w:p>
    <w:p>
      <w:pPr>
        <w:spacing w:after="100"/>
      </w:pPr>
      <w:r>
        <w:t xml:space="preserve">Osobné údaje sa nezverejňujú.</w:t>
      </w:r>
    </w:p>
    <w:p>
      <w:pPr>
        <w:spacing w:after="100"/>
      </w:pPr>
      <w:r>
        <w:t xml:space="preserve">Dôkaz oprávneného záujmu prevádzkovateľa (podľa čl. 6 ods. 1 písm. f) GDPR):</w:t>
      </w:r>
    </w:p>
    <w:p>
      <w:pPr>
        <w:spacing w:after="100"/>
      </w:pPr>
      <w:r>
        <w:t xml:space="preserve">- spracúvanie je nevyhnutné na účely oprávnených záujmov Prevádzkovateľa na plnení zmluvného vzťahu, ak zmluvnou stranou je FO, ktorá je zmluvnou stranou, zastupuje iná FO, pričom DO takéto spracúvanie môžu primerane očakávať,</w:t>
      </w:r>
    </w:p>
    <w:p>
      <w:pPr>
        <w:spacing w:after="100"/>
      </w:pPr>
      <w:r>
        <w:t xml:space="preserve">- spracúvanie je nevyhnutné na účely oprávnených záujmov Prevádzkovateľa na plnení zmluvného vzťahu, ak zmluvnou stranou je právnická osoba (PO) a v jej mene vystupujú za účelom plnenia zmluvných vzťahov iné fyzické osoby (FO) na základe osobitného oprávnenia, pričom dotknuté osoby takéto spracúvanie môžu primerane očakávať,</w:t>
      </w:r>
    </w:p>
    <w:p>
      <w:pPr>
        <w:spacing w:after="100"/>
      </w:pPr>
      <w:r>
        <w:t xml:space="preserve">- spracúvanie je nevyhnutné na účely oprávnených záujmov Prevádzkovateľa na plnení zmluvného vzťahu, ak zmluvnou stranou je fyzická osoba podnikateľ (SZČO) a v jej mene vystupujú za účelom plnenia zmluvných vzťahov iné fyzické osoby (FO) na základe osobitného oprávnenia, pričom dotknuté osoby takéto spracúvanie môžu primerane očakávať.</w:t>
      </w:r>
    </w:p>
    <w:p>
      <w:pPr>
        <w:spacing w:after="100"/>
      </w:pPr>
      <w:r>
        <w:t xml:space="preserve">Prevádzkovateľ spracúva kontaktné údaje klientov, ich kontaktných osôb a zamestnancov na základe oprávneného záujmu, ktorým je udržiavanie efektívnej evidencie a komunikácie potrebnej pre obchodné vzťahy a transakcie. Tento záujem je vyvážený s právami a slobodami dotknutých osôb, pričom sa kladie dôraz na transparentnosť a ochranu údajov.</w:t>
      </w:r>
    </w:p>
    <w:p>
      <w:pPr>
        <w:spacing w:after="100"/>
      </w:pPr>
      <w:r>
        <w:t xml:space="preserve">Právo na námietku: Dotknuté osoby majú právo kedykoľvek namietnuť proti spracúvaniu ich osobných údajov založenom na oprávnenom záujme Prevádzkovateľa z dôvodov súvisiacich s ich konkrétnou situáciou. Prevádzkovateľ musí preukázať nevyhnutné závažné oprávnené dôvody pre spracúvanie, ktoré prevažujú nad záujmami, právami a slobodami dotknutých osôb, alebo dôvody na uplatnenie právnych nárokov.</w:t>
      </w:r>
    </w:p>
    <w:p>
      <w:pPr>
        <w:spacing w:after="120" w:before="200"/>
      </w:pPr>
      <w:r>
        <w:rPr>
          <w:b/>
          <w:bCs/>
          <w:u w:val="single"/>
        </w:rPr>
        <w:t xml:space="preserve">Doba uchovávania / kritérium jej určenia:</w:t>
      </w:r>
    </w:p>
    <w:p>
      <w:pPr>
        <w:spacing w:after="100"/>
      </w:pPr>
      <w:r>
        <w:t xml:space="preserve">Do naplnenia účelu.</w:t>
      </w:r>
    </w:p>
    <w:p>
      <w:pPr>
        <w:spacing w:after="100"/>
      </w:pPr>
      <w:r>
        <w:t xml:space="preserve">Periodická revízia a vymazávanie údajov: Prevádzkovateľ pravidelne reviduje uchovávané údaje, aby zistil, či ich uchovávanie je naďalej opodstatnené. Údaje, ktoré už nie sú potrebné alebo ktorých doba uchovávania uplynula, sú bezpečne vymazané alebo anonymizované, aby sa zabezpečila ochrana identity a predišlo sa neoprávnenému spracúvaniu.</w:t>
      </w:r>
    </w:p>
    <w:p>
      <w:pPr>
        <w:spacing w:after="120" w:before="200"/>
      </w:pPr>
      <w:r>
        <w:rPr>
          <w:b/>
          <w:bCs/>
          <w:u w:val="single"/>
        </w:rPr>
        <w:t xml:space="preserve">Poučenie o forme požiadavky na poskytnutie osobných údajov od dotknutých osôb:</w:t>
      </w:r>
    </w:p>
    <w:p>
      <w:pPr>
        <w:spacing w:after="100"/>
      </w:pPr>
      <w:r>
        <w:t xml:space="preserve">Poskytovanie osobných údajov je zmluvná a zároveň zákonná požiadavka. Dotknutá osoba je povinná poskytnúť osobné údaje. V prípade neposkytnutia týchto údajov, nie je možné uzatvorenie zmluvného vzťahu, ako ani následné plnenie zo zmluvy. Taktiež nie je možné zabezpečiť riadne plnenie povinností Prevádzkovateľa, ktoré mu vyplývajú z príslušných všeobecných právnych predpisov.</w:t>
      </w:r>
    </w:p>
    <w:p>
      <w:pPr>
        <w:spacing w:after="120" w:before="200"/>
      </w:pPr>
      <w:r>
        <w:rPr>
          <w:b/>
          <w:bCs/>
          <w:u w:val="single"/>
        </w:rPr>
        <w:t xml:space="preserve">Zásada minimalizácie a vymazávania údajov:</w:t>
      </w:r>
    </w:p>
    <w:p>
      <w:pPr>
        <w:spacing w:after="100"/>
      </w:pPr>
      <w:r>
        <w:t xml:space="preserve">Prevádzkovateľ sa zaväzuje, že osobné údaje poskytnuté dotknutou osobou budú spracúvané v súlade so zásadou minimalizácie, teda iba v rozsahu nevyhnutnom na dosiahnutie stanovených účelov. V prípade, že účel spracúvania osobných údajov odpadne, prevádzkovateľ sa zaručuje, že tieto údaje budú bezodkladne vymazané.</w:t>
      </w:r>
    </w:p>
    <w:p>
      <w:pPr>
        <w:spacing w:after="120" w:before="200"/>
      </w:pPr>
      <w:r>
        <w:rPr>
          <w:b/>
          <w:bCs/>
          <w:u w:val="single"/>
        </w:rPr>
        <w:t xml:space="preserve">Transparentnosť pri zmene účelu spracúvania:</w:t>
      </w:r>
    </w:p>
    <w:p>
      <w:pPr>
        <w:spacing w:after="100"/>
      </w:pPr>
      <w:r>
        <w:t xml:space="preserve">V prípade, že by osobné údaje mali byť spracúvané na iný účel, ako je ten, ktorý bol stanovený pri ich zbere, Prevádzkovateľ sa zaväzuje, že dotknutá osoba bude o tomto novom účele, ako aj o právnom základe spracúvania, informovaná ešte pred začatím takého spracúvania. Toto zabezpečí, že všetky zmeny v spracúvaní údajov budú pre dotknuté osoby plne transparentné.</w:t>
      </w:r>
    </w:p>
    <w:p>
      <w:pPr>
        <w:spacing w:after="120" w:before="200"/>
      </w:pPr>
      <w:r>
        <w:rPr>
          <w:b/>
          <w:bCs/>
          <w:u w:val="single"/>
        </w:rPr>
        <w:t xml:space="preserve">Technické a organizačné bezpečnostné opatrenia:</w:t>
      </w:r>
    </w:p>
    <w:p>
      <w:pPr>
        <w:spacing w:after="100"/>
      </w:pPr>
      <w:r>
        <w:t xml:space="preserve">Prevádzkovateľ má implementované rozsiahle organizačné a technické opatrenia na ochranu osobných údajov, ktoré sú podrobne dokumentované v interných predpisoch. Tieto opatrenia zabezpečujú komplexnú ochranu údajov prostredníctvom nasledujúcich oblastí:</w:t>
      </w:r>
    </w:p>
    <w:p>
      <w:pPr>
        <w:pStyle w:val="ListParagraph"/>
        <w:numPr>
          <w:ilvl w:val="0"/>
          <w:numId w:val="2"/>
        </w:numPr>
        <w:spacing w:after="70"/>
      </w:pPr>
      <w:r>
        <w:t xml:space="preserve">Fyzická a objektová bezpečnosť: Zabezpečenie prístupu do priestorov a zabezpečenie zariadení, ktoré uchovávajú osobné údaje, pomocou kontrol prístupu.</w:t>
      </w:r>
    </w:p>
    <w:p>
      <w:pPr>
        <w:pStyle w:val="ListParagraph"/>
        <w:numPr>
          <w:ilvl w:val="0"/>
          <w:numId w:val="2"/>
        </w:numPr>
        <w:spacing w:after="70"/>
      </w:pPr>
      <w:r>
        <w:t xml:space="preserve">Informačná bezpečnosť: Ochrana dátových systémov a sietí pred neoprávneným prístupom, útokmi a škodlivým softvérom pomocou firewallov, šifrovania a bezpečnostných protokolov.</w:t>
      </w:r>
    </w:p>
    <w:p>
      <w:pPr>
        <w:pStyle w:val="ListParagraph"/>
        <w:numPr>
          <w:ilvl w:val="0"/>
          <w:numId w:val="2"/>
        </w:numPr>
        <w:spacing w:after="70"/>
      </w:pPr>
      <w:r>
        <w:t xml:space="preserve">Šifrovanie informácií: Použitie štandardov na šifrovanie pri ukladaní a prenose dát, aby sa zabezpečila ich dôvernosť a integrita.</w:t>
      </w:r>
    </w:p>
    <w:p>
      <w:pPr>
        <w:pStyle w:val="ListParagraph"/>
        <w:numPr>
          <w:ilvl w:val="0"/>
          <w:numId w:val="2"/>
        </w:numPr>
        <w:spacing w:after="70"/>
      </w:pPr>
      <w:r>
        <w:t xml:space="preserve">Personálna a administratívna bezpečnosť: Pravidelné školenia zamestnancov o bezpečnostných politikách a postupoch, prísne procesy na overenie identity a prístupové práva. Tieto opatrenia sú navrhnuté tak, aby predchádzali neoprávnenému prístupu, zneužitiu, znehodnoteniu alebo inému neoprávnenému spracúvaniu údajov. Právomoci a povinnosti zamestnancov sú jasne definované v bezpečnostnej politike prevádzkovateľa a sú pravidelne aktualizované, aby reflektovali najnovšie poznatky v oblasti ochrany údajov.</w:t>
      </w:r>
    </w:p>
    <w:p>
      <w:pPr>
        <w:spacing w:after="120" w:before="200"/>
      </w:pPr>
      <w:r>
        <w:rPr>
          <w:b/>
          <w:bCs/>
          <w:u w:val="single"/>
        </w:rPr>
        <w:t xml:space="preserve">Automatizované individuálne rozhodovanie vrátane profilovania:</w:t>
      </w:r>
    </w:p>
    <w:p>
      <w:pPr>
        <w:spacing w:after="100"/>
      </w:pPr>
      <w:r>
        <w:t xml:space="preserve">Automatizované individuálne rozhodovanie vrátane profilovania sa nevykonáva.</w:t>
      </w:r>
    </w:p>
    <w:sectPr>
      <w:headerReference w:type="default" r:id="rId6"/>
      <w:footerReference w:type="default" r:id="rId7"/>
      <w:pgSz w:w="11906" w:h="16838" w:orient="portrait"/>
      <w:pgMar w:top="1600" w:right="1100" w:bottom="1500" w:left="110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before="60"/>
      <w:jc w:val="center"/>
    </w:pPr>
    <w:r>
      <w:rPr>
        <w:color w:val="777777"/>
        <w:sz w:val="14"/>
        <w:szCs w:val="14"/>
      </w:rPr>
      <w:t xml:space="preserve">MASH Integration, spol. s r.o.  ·  Hanzlíkovská 2681/3, 911 05 Trenčín  ·  IČO: 45618933  ·  IČ DPH: SK2023055958</w:t>
    </w:r>
  </w:p>
  <w:p>
    <w:pPr>
      <w:jc w:val="center"/>
    </w:pPr>
    <w:r>
      <w:rPr>
        <w:color w:val="777777"/>
        <w:sz w:val="14"/>
        <w:szCs w:val="14"/>
      </w:rPr>
      <w:t xml:space="preserve">Obchodný register Okresného súdu Trenčín, Oddiel: Sro, Vložka č. 23178/R  ·  office@mash-i.sk  ·  www.mash-i.sk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706"/>
      <w:tblBorders>
        <w:top w:val="none" w:color="FFFFFF" w:sz="0"/>
        <w:left w:val="none" w:color="FFFFFF" w:sz="0"/>
        <w:bottom w:val="single" w:color="A30000" w:sz="4"/>
        <w:right w:val="none" w:color="FFFFFF" w:sz="0"/>
        <w:insideH w:val="none" w:color="FFFFFF" w:sz="0"/>
        <w:insideV w:val="none" w:color="FFFFFF" w:sz="0"/>
      </w:tblBorders>
    </w:tblPr>
    <w:tblGrid>
      <w:gridCol w:w="3600"/>
      <w:gridCol w:w="6106"/>
    </w:tblGrid>
    <w:tr>
      <w:tc>
        <w:tcPr>
          <w:tcW w:type="dxa" w:w="3600"/>
          <w:vAlign w:val="center"/>
        </w:tcPr>
        <w:p>
          <w:pPr>
            <w:spacing w:after="120"/>
          </w:pPr>
          <w:r>
            <w:drawing>
              <wp:inline distT="0" distB="0" distL="0" distR="0">
                <wp:extent cx="1238250" cy="638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638175"/>
                        </a:xfrm>
                        <a:prstGeom prst="rect">
                          <a:avLst/>
                        </a:prstGeom>
                      </pic:spPr>
                    </pic:pic>
                  </a:graphicData>
                </a:graphic>
              </wp:inline>
            </w:drawing>
          </w:r>
        </w:p>
      </w:tc>
      <w:tc>
        <w:tcPr>
          <w:tcW w:type="dxa" w:w="6106"/>
          <w:vAlign w:val="center"/>
        </w:tcPr>
        <w:p>
          <w:pPr>
            <w:spacing w:after="120"/>
            <w:jc w:val="right"/>
          </w:pPr>
          <w:r>
            <w:rPr>
              <w:b/>
              <w:bCs/>
              <w:color w:val="555555"/>
              <w:sz w:val="18"/>
              <w:szCs w:val="18"/>
            </w:rPr>
            <w:t xml:space="preserve">MASH Integration, spol. s r.o.</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1c3b908d63ba6c1d0c375ea33f27621398d0d4c.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2026-10-22T19:53:40.738Z</dcterms:created>
  <dcterms:modified xsi:type="dcterms:W3CDTF">2026-10-22T19:53:40.739Z</dcterms:modified>
</cp:coreProperties>
</file>

<file path=docProps/custom.xml><?xml version="1.0" encoding="utf-8"?>
<Properties xmlns="http://schemas.openxmlformats.org/officeDocument/2006/custom-properties" xmlns:vt="http://schemas.openxmlformats.org/officeDocument/2006/docPropsVTypes"/>
</file>